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29246" w14:textId="77777777" w:rsidR="00F520E4" w:rsidRDefault="00F520E4" w:rsidP="00F520E4"/>
    <w:p w14:paraId="79A2617E" w14:textId="77777777" w:rsidR="00F520E4" w:rsidRDefault="00F520E4" w:rsidP="00F520E4">
      <w:pPr>
        <w:pStyle w:val="berschrift1"/>
      </w:pPr>
      <w:r>
        <w:t>Einleitung</w:t>
      </w:r>
    </w:p>
    <w:p w14:paraId="65830559" w14:textId="77777777" w:rsidR="00F520E4" w:rsidRDefault="00F520E4" w:rsidP="00F520E4">
      <w:r>
        <w:t>In der gegen Ende des 19. und zu Beginn des 20. Jahrhunderts entstandenen Literatur findet sich eine gehäufte Beschäftigung mit unterschiedlichen Themen aus dem Bereich der Familie. Beachtet man sozialhistorische und geistesgeschichtliche Aspekte des genannten Zeitraumes, so werden einige Faktoren sichtbar, die zur Erklärung dieser Häufung beitragen können.</w:t>
      </w:r>
    </w:p>
    <w:p w14:paraId="6E711ACB" w14:textId="77777777" w:rsidR="00F520E4" w:rsidRDefault="00F520E4" w:rsidP="00F520E4">
      <w:r>
        <w:t xml:space="preserve">Die sich auf Darwin, Haeckel, Taine und andere stützende naturalistische Auffassung, der Mensch sei determiniert, sei Produkt seiner jeweiligen biologischen Herkunft und sozialen Prägung, kann die Wahl der Familie als Thema, aber auch als Schauplatz der Handlung </w:t>
      </w:r>
      <w:proofErr w:type="gramStart"/>
      <w:r>
        <w:t>nahe legen</w:t>
      </w:r>
      <w:proofErr w:type="gramEnd"/>
      <w:r>
        <w:t>. Anhand der Familie konnten Vererbungs- und Umwelteinflüsse dargestellt werden, zugleich bot sie sowohl die Möglichkeit des stofflichen Gegenwartsbezuges als auch die Gewährleistung eigener Empirie.</w:t>
      </w:r>
    </w:p>
    <w:p w14:paraId="041DDA6E" w14:textId="29B50275" w:rsidR="00F520E4" w:rsidRDefault="00F520E4" w:rsidP="00F520E4">
      <w:r>
        <w:t>Die expressionistische Literatur weist dagegen keine solche, dem Naturalismus vergleichbare Konzentration auf Themen aus dem Bereich der Familie auf.</w:t>
      </w:r>
      <w:r>
        <w:br/>
        <w:t xml:space="preserve">Die Familie erlangt nur teilweise Bedeutung, sei es dergestalt, dass lediglich ein Teil von ihr in den Mittelpunkt der Darstellung gerückt wird (wie beispielsweise Vater und Sohn in Hasenclevers „Der Sohn“ </w:t>
      </w:r>
      <w:sdt>
        <w:sdtPr>
          <w:id w:val="1955175"/>
          <w:citation/>
        </w:sdtPr>
        <w:sdtContent>
          <w:r>
            <w:fldChar w:fldCharType="begin"/>
          </w:r>
          <w:r>
            <w:instrText xml:space="preserve"> CITATION Has94 \l 1031 </w:instrText>
          </w:r>
          <w:r>
            <w:fldChar w:fldCharType="separate"/>
          </w:r>
          <w:r w:rsidR="00D90652">
            <w:rPr>
              <w:noProof/>
            </w:rPr>
            <w:t>(Hasenclever, 1994)</w:t>
          </w:r>
          <w:r>
            <w:rPr>
              <w:noProof/>
            </w:rPr>
            <w:fldChar w:fldCharType="end"/>
          </w:r>
        </w:sdtContent>
      </w:sdt>
      <w:r>
        <w:t xml:space="preserve">), oder dass nur ein Akt oder eine Szene in der Familie spielt. </w:t>
      </w:r>
    </w:p>
    <w:p w14:paraId="08516B08" w14:textId="77777777" w:rsidR="00F520E4" w:rsidRDefault="00F520E4" w:rsidP="00F520E4">
      <w:r>
        <w:t xml:space="preserve">Möglichkeiten der Thematisierung von Familie finden sich auch im Expressionismus. So erscheint der Gegensatz zwischen Aufbruchs- und Erneuerungsideen und der Vision vom neuen Menschen einerseits und dem quasi alten Menschen andererseits als durchaus im Rahmen von Familie darstellbar.  </w:t>
      </w:r>
    </w:p>
    <w:p w14:paraId="3683C6CE" w14:textId="77777777" w:rsidR="00DE108E" w:rsidRDefault="00F520E4" w:rsidP="00F520E4">
      <w:r>
        <w:t xml:space="preserve">In stofflicher Hinsicht birgt die Familie auf den ersten Blick nur eine begrenzte Anzahl tatsächlich familienspezifischer Konfliktmöglichkeiten. Die Konflikte ergeben sich aus dem Wesen der Familie als Ehe- und Erziehungsgemeinschaft bzw. den verschiedenen, durch Geschlecht und Alter festgelegten Basisrollen. So nennt </w:t>
      </w:r>
      <w:proofErr w:type="spellStart"/>
      <w:r>
        <w:t>Dünhofen</w:t>
      </w:r>
      <w:proofErr w:type="spellEnd"/>
      <w:r>
        <w:t xml:space="preserve"> Ehekonflikte und ihre Auswirkungen auf die Kinder, Erziehungsprobleme sowie die Stellung der Kinder zu den Eltern als typische Familienprobleme.  Hinzuzufügen sind Konflikte zwischen Geschwistern, zwischen Familie und Umwelt sowie zwischen einem einzelnen Familienmitglied und der Familie als gesellschaftlicher Gruppe. Einer Analyse des Bildes der Familie bieten sich jedoch nicht nur die genannten Konflikte als Untersuchungsgegenstand an, sondern auch die allgemeinere Frage nach Rolle und Bedeutung, die der Familie jeweils zugemessen werden.</w:t>
      </w:r>
    </w:p>
    <w:p w14:paraId="786EAFD0" w14:textId="5F9DE7B4" w:rsidR="00F520E4" w:rsidRDefault="00F520E4" w:rsidP="00F520E4">
      <w:r>
        <w:t xml:space="preserve">Auf diese und weitere Aspekte soll anhand dreier Dramen eingegangen werden: </w:t>
      </w:r>
      <w:r>
        <w:br/>
        <w:t xml:space="preserve">Gerhart Hauptmanns „Friedensfest“, Frank Wedekinds „Frühlings Erwachen“ und Georg Kaisers „Von morgens bis mitternachts“. Alle drei Stücke entstanden innerhalb des Zeitraumes um die Jahrhundertwende, einer „literarischen Epoche“ also, die Rasch zufolge „zwar sehr verschiedenartige, ja gegensätzliche Formen herausbildet, sich aber dennoch als eine Einheit, als einheitlicher Entfaltungszusammenhang verstehen </w:t>
      </w:r>
      <w:r w:rsidR="009A1DB6">
        <w:t>lässt</w:t>
      </w:r>
      <w:r>
        <w:t>“</w:t>
      </w:r>
      <w:sdt>
        <w:sdtPr>
          <w:id w:val="1955176"/>
          <w:citation/>
        </w:sdtPr>
        <w:sdtContent>
          <w:r>
            <w:fldChar w:fldCharType="begin"/>
          </w:r>
          <w:r>
            <w:instrText xml:space="preserve"> CITATION Ras67 \l 1031 </w:instrText>
          </w:r>
          <w:r>
            <w:fldChar w:fldCharType="separate"/>
          </w:r>
          <w:r w:rsidR="00D90652">
            <w:rPr>
              <w:noProof/>
            </w:rPr>
            <w:t xml:space="preserve"> (Rasch, 1967)</w:t>
          </w:r>
          <w:r>
            <w:rPr>
              <w:noProof/>
            </w:rPr>
            <w:fldChar w:fldCharType="end"/>
          </w:r>
        </w:sdtContent>
      </w:sdt>
      <w:r>
        <w:t xml:space="preserve"> . Es ist jedoch zu beachten, dass die Auswahl der Dramen in der vorliegenden Arbeit keinesfalls mit dem Anspruch der Repräsentativität verbunden ist, sondern sich lediglich als Beitrag zu einem denkbaren Thema „Das Bild der Familie in der Dramatik der Jahrhundertwende“ versteht.</w:t>
      </w:r>
    </w:p>
    <w:p w14:paraId="495BBCBE" w14:textId="77777777" w:rsidR="00F520E4" w:rsidRDefault="00F520E4" w:rsidP="00F520E4">
      <w:r>
        <w:lastRenderedPageBreak/>
        <w:t>Im Vordergrund soll zunächst die Untersuchung des Bildes der Familie in den einzelnen Dramen stehen, und zwar in einer Reihenfolge, die der Chronologie der Entstehung der Stücke entspricht. Während das „Friedensfest“ fast ausschließlich aus Dialogen zwischen Familienmitgliedern besteht, zeigen nur fünf Szenen bei Wedekind und eine Station bei Kaiser solche Gespräche. Damit steht der unterschiedliche Umfang der Kapitel zum „Friedensfest“, zu „Frühlings Erwachen“ und zu „Von morgens bis mitternachts“ in der vorliegenden Arbeit in Zusammenhang. Nach der vorwiegend dialoganalytisch orientierten Untersuchung der einzelnen Dramen folgt in einem abschließenden Kapitel eine nähere Betrachtung der bis dahin erlangten Ergebnisse, um Schwerpunkte, Gemeinsamkeiten und Unterschiede der Darstellung von Familie in den drei Dramen ersichtlich werden zu lassen.</w:t>
      </w:r>
    </w:p>
    <w:sdt>
      <w:sdtPr>
        <w:rPr>
          <w:rFonts w:asciiTheme="minorHAnsi" w:eastAsiaTheme="minorHAnsi" w:hAnsiTheme="minorHAnsi" w:cstheme="minorBidi"/>
          <w:b w:val="0"/>
          <w:bCs w:val="0"/>
          <w:color w:val="auto"/>
          <w:sz w:val="22"/>
          <w:szCs w:val="22"/>
        </w:rPr>
        <w:id w:val="1955197"/>
        <w:docPartObj>
          <w:docPartGallery w:val="Bibliographies"/>
          <w:docPartUnique/>
        </w:docPartObj>
      </w:sdtPr>
      <w:sdtContent>
        <w:p w14:paraId="5F649A5D" w14:textId="77777777" w:rsidR="00C01008" w:rsidRDefault="00C01008">
          <w:pPr>
            <w:pStyle w:val="berschrift1"/>
          </w:pPr>
          <w:r>
            <w:t>Literaturverzeichnis</w:t>
          </w:r>
        </w:p>
        <w:sdt>
          <w:sdtPr>
            <w:id w:val="111145805"/>
            <w:bibliography/>
          </w:sdtPr>
          <w:sdtContent>
            <w:p w14:paraId="2EBABC0A" w14:textId="77777777" w:rsidR="00D90652" w:rsidRDefault="00C01008" w:rsidP="00D90652">
              <w:pPr>
                <w:pStyle w:val="Literaturverzeichnis"/>
                <w:ind w:left="720" w:hanging="720"/>
                <w:rPr>
                  <w:noProof/>
                  <w:sz w:val="24"/>
                  <w:szCs w:val="24"/>
                </w:rPr>
              </w:pPr>
              <w:r>
                <w:fldChar w:fldCharType="begin"/>
              </w:r>
              <w:r>
                <w:instrText xml:space="preserve"> BIBLIOGRAPHY </w:instrText>
              </w:r>
              <w:r>
                <w:fldChar w:fldCharType="separate"/>
              </w:r>
              <w:r w:rsidR="00D90652">
                <w:rPr>
                  <w:noProof/>
                </w:rPr>
                <w:t xml:space="preserve">Hasenclever, W. (1994). </w:t>
              </w:r>
              <w:r w:rsidR="00D90652">
                <w:rPr>
                  <w:i/>
                  <w:iCs/>
                  <w:noProof/>
                </w:rPr>
                <w:t>Der Sohn. Drama in fünf Akten.</w:t>
              </w:r>
              <w:r w:rsidR="00D90652">
                <w:rPr>
                  <w:noProof/>
                </w:rPr>
                <w:t xml:space="preserve"> Stuttgart: Reclam.</w:t>
              </w:r>
            </w:p>
            <w:p w14:paraId="4CCC9C2E" w14:textId="77777777" w:rsidR="00D90652" w:rsidRDefault="00D90652" w:rsidP="00D90652">
              <w:pPr>
                <w:pStyle w:val="Literaturverzeichnis"/>
                <w:ind w:left="720" w:hanging="720"/>
                <w:rPr>
                  <w:noProof/>
                </w:rPr>
              </w:pPr>
              <w:r>
                <w:rPr>
                  <w:noProof/>
                </w:rPr>
                <w:t xml:space="preserve">Rasch, W. (1967). </w:t>
              </w:r>
              <w:r>
                <w:rPr>
                  <w:i/>
                  <w:iCs/>
                  <w:noProof/>
                </w:rPr>
                <w:t>Aspekte der deutschen Literatur um 1900.</w:t>
              </w:r>
              <w:r>
                <w:rPr>
                  <w:noProof/>
                </w:rPr>
                <w:t xml:space="preserve"> Stuttgart .</w:t>
              </w:r>
            </w:p>
            <w:p w14:paraId="558531C0" w14:textId="77777777" w:rsidR="00C01008" w:rsidRDefault="00C01008" w:rsidP="00D90652">
              <w:r>
                <w:fldChar w:fldCharType="end"/>
              </w:r>
            </w:p>
          </w:sdtContent>
        </w:sdt>
      </w:sdtContent>
    </w:sdt>
    <w:p w14:paraId="71D271FB" w14:textId="77777777" w:rsidR="001D653F" w:rsidRDefault="001D653F" w:rsidP="00F520E4"/>
    <w:sectPr w:rsidR="001D653F" w:rsidSect="0019535C">
      <w:pgSz w:w="11906" w:h="16838"/>
      <w:pgMar w:top="1417" w:right="1417" w:bottom="1134" w:left="1417" w:header="708" w:footer="708"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CD24" w14:textId="77777777" w:rsidR="00B14E98" w:rsidRDefault="00B14E98" w:rsidP="00F520E4">
      <w:pPr>
        <w:spacing w:after="0" w:line="240" w:lineRule="auto"/>
      </w:pPr>
      <w:r>
        <w:separator/>
      </w:r>
    </w:p>
  </w:endnote>
  <w:endnote w:type="continuationSeparator" w:id="0">
    <w:p w14:paraId="259422C1" w14:textId="77777777" w:rsidR="00B14E98" w:rsidRDefault="00B14E98" w:rsidP="00F52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5C5EA" w14:textId="77777777" w:rsidR="00B14E98" w:rsidRDefault="00B14E98" w:rsidP="00F520E4">
      <w:pPr>
        <w:spacing w:after="0" w:line="240" w:lineRule="auto"/>
      </w:pPr>
      <w:r>
        <w:separator/>
      </w:r>
    </w:p>
  </w:footnote>
  <w:footnote w:type="continuationSeparator" w:id="0">
    <w:p w14:paraId="685C47E3" w14:textId="77777777" w:rsidR="00B14E98" w:rsidRDefault="00B14E98" w:rsidP="00F520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drawingGridHorizontalSpacing w:val="56"/>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0E4"/>
    <w:rsid w:val="000149B0"/>
    <w:rsid w:val="0019535C"/>
    <w:rsid w:val="001D653F"/>
    <w:rsid w:val="00326944"/>
    <w:rsid w:val="003969AB"/>
    <w:rsid w:val="005368F7"/>
    <w:rsid w:val="00707E30"/>
    <w:rsid w:val="008E00F8"/>
    <w:rsid w:val="009A1DB6"/>
    <w:rsid w:val="009D5A99"/>
    <w:rsid w:val="00A80F84"/>
    <w:rsid w:val="00B14E98"/>
    <w:rsid w:val="00B7200C"/>
    <w:rsid w:val="00C01008"/>
    <w:rsid w:val="00D90652"/>
    <w:rsid w:val="00DE108E"/>
    <w:rsid w:val="00F520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BC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49B0"/>
  </w:style>
  <w:style w:type="paragraph" w:styleId="berschrift1">
    <w:name w:val="heading 1"/>
    <w:basedOn w:val="Standard"/>
    <w:next w:val="Standard"/>
    <w:link w:val="berschrift1Zchn"/>
    <w:uiPriority w:val="9"/>
    <w:qFormat/>
    <w:rsid w:val="00F520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520E4"/>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19535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9535C"/>
    <w:rPr>
      <w:rFonts w:ascii="Tahoma" w:hAnsi="Tahoma" w:cs="Tahoma"/>
      <w:sz w:val="16"/>
      <w:szCs w:val="16"/>
    </w:rPr>
  </w:style>
  <w:style w:type="character" w:styleId="Zeilennummer">
    <w:name w:val="line number"/>
    <w:basedOn w:val="Absatz-Standardschriftart"/>
    <w:uiPriority w:val="99"/>
    <w:semiHidden/>
    <w:unhideWhenUsed/>
    <w:rsid w:val="0019535C"/>
  </w:style>
  <w:style w:type="paragraph" w:styleId="Literaturverzeichnis">
    <w:name w:val="Bibliography"/>
    <w:basedOn w:val="Standard"/>
    <w:next w:val="Standard"/>
    <w:uiPriority w:val="37"/>
    <w:unhideWhenUsed/>
    <w:rsid w:val="00C01008"/>
  </w:style>
  <w:style w:type="paragraph" w:styleId="Kopfzeile">
    <w:name w:val="header"/>
    <w:basedOn w:val="Standard"/>
    <w:link w:val="KopfzeileZchn"/>
    <w:uiPriority w:val="99"/>
    <w:unhideWhenUsed/>
    <w:rsid w:val="00B7200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7200C"/>
  </w:style>
  <w:style w:type="paragraph" w:styleId="Fuzeile">
    <w:name w:val="footer"/>
    <w:basedOn w:val="Standard"/>
    <w:link w:val="FuzeileZchn"/>
    <w:uiPriority w:val="99"/>
    <w:unhideWhenUsed/>
    <w:rsid w:val="00B7200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7200C"/>
  </w:style>
  <w:style w:type="character" w:styleId="Hyperlink">
    <w:name w:val="Hyperlink"/>
    <w:basedOn w:val="Absatz-Standardschriftart"/>
    <w:uiPriority w:val="99"/>
    <w:unhideWhenUsed/>
    <w:rsid w:val="00B7200C"/>
    <w:rPr>
      <w:color w:val="0000FF" w:themeColor="hyperlink"/>
      <w:u w:val="single"/>
    </w:rPr>
  </w:style>
  <w:style w:type="character" w:styleId="NichtaufgelsteErwhnung">
    <w:name w:val="Unresolved Mention"/>
    <w:basedOn w:val="Absatz-Standardschriftart"/>
    <w:uiPriority w:val="99"/>
    <w:semiHidden/>
    <w:unhideWhenUsed/>
    <w:rsid w:val="00B720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1935">
      <w:bodyDiv w:val="1"/>
      <w:marLeft w:val="0"/>
      <w:marRight w:val="0"/>
      <w:marTop w:val="0"/>
      <w:marBottom w:val="0"/>
      <w:divBdr>
        <w:top w:val="none" w:sz="0" w:space="0" w:color="auto"/>
        <w:left w:val="none" w:sz="0" w:space="0" w:color="auto"/>
        <w:bottom w:val="none" w:sz="0" w:space="0" w:color="auto"/>
        <w:right w:val="none" w:sz="0" w:space="0" w:color="auto"/>
      </w:divBdr>
    </w:div>
    <w:div w:id="479738381">
      <w:bodyDiv w:val="1"/>
      <w:marLeft w:val="0"/>
      <w:marRight w:val="0"/>
      <w:marTop w:val="0"/>
      <w:marBottom w:val="0"/>
      <w:divBdr>
        <w:top w:val="none" w:sz="0" w:space="0" w:color="auto"/>
        <w:left w:val="none" w:sz="0" w:space="0" w:color="auto"/>
        <w:bottom w:val="none" w:sz="0" w:space="0" w:color="auto"/>
        <w:right w:val="none" w:sz="0" w:space="0" w:color="auto"/>
      </w:divBdr>
    </w:div>
    <w:div w:id="63033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Has94</b:Tag>
    <b:SourceType>Book</b:SourceType>
    <b:Guid>{EB6F2D79-E8D9-468D-80C0-7250DA306C2A}</b:Guid>
    <b:Author>
      <b:Author>
        <b:NameList>
          <b:Person>
            <b:Last>Hasenclever</b:Last>
            <b:First>Walter</b:First>
          </b:Person>
        </b:NameList>
      </b:Author>
    </b:Author>
    <b:Title>Der Sohn. Drama in fünf Akten</b:Title>
    <b:Year>1994</b:Year>
    <b:City>Stuttgart</b:City>
    <b:Publisher>Reclam</b:Publisher>
    <b:RefOrder>1</b:RefOrder>
  </b:Source>
  <b:Source>
    <b:Tag>Ras67</b:Tag>
    <b:SourceType>Book</b:SourceType>
    <b:Guid>{A4678A49-009B-4658-8DEF-3746308ABA90}</b:Guid>
    <b:Author>
      <b:Author>
        <b:NameList>
          <b:Person>
            <b:Last>Rasch</b:Last>
            <b:First>Wolfdietrich</b:First>
          </b:Person>
        </b:NameList>
      </b:Author>
    </b:Author>
    <b:Title>Aspekte der deutschen Literatur um 1900</b:Title>
    <b:Year>1967</b:Year>
    <b:City>Stuttgart </b:City>
    <b:RefOrder>2</b:RefOrder>
  </b:Source>
</b:Sources>
</file>

<file path=customXml/itemProps1.xml><?xml version="1.0" encoding="utf-8"?>
<ds:datastoreItem xmlns:ds="http://schemas.openxmlformats.org/officeDocument/2006/customXml" ds:itemID="{A2EE181F-6600-44E2-8E62-6BAE20CFE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3746</Characters>
  <Application>Microsoft Office Word</Application>
  <DocSecurity>0</DocSecurity>
  <Lines>31</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2023-08-30T16:23:00Z</dcterms:created>
  <dcterms:modified xsi:type="dcterms:W3CDTF">2023-08-30T16:23:00Z</dcterms:modified>
</cp:coreProperties>
</file>